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附表</w:t>
      </w:r>
      <w:r>
        <w:rPr>
          <w:rFonts w:hint="eastAsia"/>
          <w:b/>
          <w:sz w:val="24"/>
          <w:szCs w:val="24"/>
          <w:lang w:val="en-US" w:eastAsia="zh-CN"/>
        </w:rPr>
        <w:t xml:space="preserve">2    </w:t>
      </w:r>
      <w:bookmarkStart w:id="0" w:name="_GoBack"/>
      <w:bookmarkEnd w:id="0"/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6"/>
        <w:tblW w:w="94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175"/>
        <w:gridCol w:w="1248"/>
        <w:gridCol w:w="162"/>
        <w:gridCol w:w="353"/>
        <w:gridCol w:w="1485"/>
        <w:gridCol w:w="840"/>
        <w:gridCol w:w="35"/>
        <w:gridCol w:w="500"/>
        <w:gridCol w:w="745"/>
        <w:gridCol w:w="592"/>
        <w:gridCol w:w="663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；饮用水取水口 □；涉水的自然保护区□；重要湿地 □；重点保护与珍稀水生生物的栖息地 □；重要水生生物的自然产卵场及索饵场、越冬场和洄游通道、天然渔场等渔业水体 □；涉水的风景名胜区□；其他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直接排放□；间接排放□；其他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持久性污染物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；有毒有害污染物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；非持久性污染物□；pH值□；热污染□；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富营养化□；其他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一级□；二级□；三级A□；三级B 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2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已建□；在建□；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2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68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排污许可证□；环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评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□；环保验收□；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既有实测□；现场监测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入河排放口数据□；其他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2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丰水期□；平水期□；枯水期□；冰封期□春季□；夏季□；秋季□；冬季□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生态环境保护主管部门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；补充监测□；其他□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未开发□；开发量40%以下□；开发量40%以上□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冰封期□春季□；夏季□；秋季□；冬季□</w:t>
            </w:r>
          </w:p>
        </w:tc>
        <w:tc>
          <w:tcPr>
            <w:tcW w:w="36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水行政主管部门□；补充监测□；其他□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2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春季□；夏季□；秋季□；冬季□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河流、湖库、河口：Ⅰ类□；Ⅱ类□；Ⅲ类□；Ⅳ类□；Ⅴ类□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近岸海域：第一类□；第二类□；第三类□；第四类□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丰水期□；平水期□；枯水期□；冰封期□</w:t>
            </w:r>
            <w:r>
              <w:rPr>
                <w:rFonts w:hint="eastAsia" w:cs="Times New Roman" w:eastAsiaTheme="minorEastAsia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春季□；夏季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；秋季□；冬季□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662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水环境功能区或水功能区、近岸海域环境功能区水质达标状况□：达标□；不达标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水环境控制单元或断面水质达标状况□：达标□；不达标□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水环境保护目标质量状况□：达标□；不达标□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对照断面、控制断面等代表性断面的水质状况□：达标□；不达标□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底泥污染评价□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达标区□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不达标区□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2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31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21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8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3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8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污水处理设施 □；水文减缓设施 □；生态流量保障设施 □；区域削减 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依托其他工程措施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81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7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0A2F2547"/>
    <w:rsid w:val="1F910F28"/>
    <w:rsid w:val="24287C62"/>
    <w:rsid w:val="37166E20"/>
    <w:rsid w:val="484E69F6"/>
    <w:rsid w:val="7413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3</TotalTime>
  <ScaleCrop>false</ScaleCrop>
  <LinksUpToDate>false</LinksUpToDate>
  <CharactersWithSpaces>2210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dell</cp:lastModifiedBy>
  <dcterms:modified xsi:type="dcterms:W3CDTF">2020-11-28T16:29:47Z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